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BDD89" w14:textId="77777777" w:rsidR="00A756CA" w:rsidRDefault="00A756CA" w:rsidP="00A756CA">
      <w:pPr>
        <w:spacing w:after="0"/>
      </w:pPr>
    </w:p>
    <w:tbl>
      <w:tblPr>
        <w:tblStyle w:val="Grigliatabella"/>
        <w:tblW w:w="0" w:type="auto"/>
        <w:tblLook w:val="04A0" w:firstRow="1" w:lastRow="0" w:firstColumn="1" w:lastColumn="0" w:noHBand="0" w:noVBand="1"/>
      </w:tblPr>
      <w:tblGrid>
        <w:gridCol w:w="3259"/>
        <w:gridCol w:w="3259"/>
        <w:gridCol w:w="3260"/>
      </w:tblGrid>
      <w:tr w:rsidR="00A756CA" w14:paraId="407615C0" w14:textId="77777777" w:rsidTr="00A756CA">
        <w:tc>
          <w:tcPr>
            <w:tcW w:w="3259" w:type="dxa"/>
          </w:tcPr>
          <w:p w14:paraId="199EA8AA" w14:textId="77777777" w:rsidR="00A756CA" w:rsidRPr="00A756CA" w:rsidRDefault="00A756CA" w:rsidP="00A756CA">
            <w:pPr>
              <w:jc w:val="center"/>
              <w:rPr>
                <w:b/>
              </w:rPr>
            </w:pPr>
            <w:proofErr w:type="spellStart"/>
            <w:r w:rsidRPr="00A756CA">
              <w:rPr>
                <w:b/>
              </w:rPr>
              <w:t>Quotations</w:t>
            </w:r>
            <w:proofErr w:type="spellEnd"/>
          </w:p>
          <w:p w14:paraId="76B937B4" w14:textId="77777777" w:rsidR="00A756CA" w:rsidRDefault="00A756CA" w:rsidP="00A756CA">
            <w:pPr>
              <w:jc w:val="center"/>
            </w:pPr>
            <w:proofErr w:type="spellStart"/>
            <w:r>
              <w:t>Original</w:t>
            </w:r>
            <w:proofErr w:type="spellEnd"/>
            <w:r>
              <w:t xml:space="preserve"> </w:t>
            </w:r>
            <w:proofErr w:type="spellStart"/>
            <w:r>
              <w:t>version</w:t>
            </w:r>
            <w:proofErr w:type="spellEnd"/>
            <w:r w:rsidR="0064150A">
              <w:t xml:space="preserve"> (</w:t>
            </w:r>
            <w:proofErr w:type="spellStart"/>
            <w:r w:rsidR="0064150A">
              <w:t>pg</w:t>
            </w:r>
            <w:proofErr w:type="spellEnd"/>
            <w:r w:rsidR="0064150A">
              <w:t xml:space="preserve"> 126)</w:t>
            </w:r>
          </w:p>
        </w:tc>
        <w:tc>
          <w:tcPr>
            <w:tcW w:w="3259" w:type="dxa"/>
          </w:tcPr>
          <w:p w14:paraId="3A9AEC34" w14:textId="77777777" w:rsidR="00A756CA" w:rsidRPr="00A756CA" w:rsidRDefault="00A756CA" w:rsidP="00A756CA">
            <w:pPr>
              <w:jc w:val="center"/>
              <w:rPr>
                <w:b/>
                <w:color w:val="002060"/>
              </w:rPr>
            </w:pPr>
            <w:proofErr w:type="spellStart"/>
            <w:r w:rsidRPr="00A756CA">
              <w:rPr>
                <w:b/>
                <w:color w:val="002060"/>
              </w:rPr>
              <w:t>Quotations</w:t>
            </w:r>
            <w:proofErr w:type="spellEnd"/>
          </w:p>
          <w:p w14:paraId="64644B73" w14:textId="77777777" w:rsidR="00A756CA" w:rsidRPr="00A756CA" w:rsidRDefault="00A756CA" w:rsidP="00A756CA">
            <w:pPr>
              <w:jc w:val="center"/>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6AF5C55" w14:textId="77777777" w:rsidR="00A756CA" w:rsidRDefault="004804AF" w:rsidP="004804AF">
            <w:pPr>
              <w:jc w:val="center"/>
            </w:pPr>
            <w:r>
              <w:t xml:space="preserve">Comparative </w:t>
            </w:r>
            <w:proofErr w:type="spellStart"/>
            <w:r>
              <w:t>analysis</w:t>
            </w:r>
            <w:proofErr w:type="spellEnd"/>
          </w:p>
        </w:tc>
      </w:tr>
      <w:tr w:rsidR="002302CF" w:rsidRPr="002302CF" w14:paraId="5717811F" w14:textId="77777777" w:rsidTr="00A756CA">
        <w:tc>
          <w:tcPr>
            <w:tcW w:w="3259" w:type="dxa"/>
          </w:tcPr>
          <w:p w14:paraId="0D2D3DBF" w14:textId="6B078438" w:rsidR="002302CF" w:rsidRPr="004804AF" w:rsidRDefault="00B62F11" w:rsidP="00A756CA">
            <w:pPr>
              <w:jc w:val="both"/>
              <w:rPr>
                <w:sz w:val="20"/>
                <w:szCs w:val="20"/>
                <w:lang w:val="en-US"/>
              </w:rPr>
            </w:pPr>
            <w:r>
              <w:rPr>
                <w:sz w:val="20"/>
                <w:szCs w:val="20"/>
                <w:lang w:val="en-US"/>
              </w:rPr>
              <w:t>“I had heard tales of the discrimination Muslims were beginning to experience in the business world”.</w:t>
            </w:r>
          </w:p>
        </w:tc>
        <w:tc>
          <w:tcPr>
            <w:tcW w:w="3259" w:type="dxa"/>
          </w:tcPr>
          <w:p w14:paraId="1BA67772" w14:textId="0AA3DB73" w:rsidR="002302CF" w:rsidRPr="0064150A" w:rsidRDefault="0064150A" w:rsidP="00C21E3B">
            <w:pPr>
              <w:jc w:val="both"/>
              <w:rPr>
                <w:color w:val="002060"/>
              </w:rPr>
            </w:pPr>
            <w:r w:rsidRPr="0064150A">
              <w:rPr>
                <w:rFonts w:cs="Helvetica"/>
                <w:color w:val="10131A"/>
              </w:rPr>
              <w:t xml:space="preserve">“Avevo sentito parlare delle </w:t>
            </w:r>
            <w:r w:rsidR="0056761C">
              <w:rPr>
                <w:rFonts w:cs="Helvetica"/>
                <w:color w:val="10131A"/>
              </w:rPr>
              <w:t xml:space="preserve">discriminazioni </w:t>
            </w:r>
            <w:proofErr w:type="gramStart"/>
            <w:r w:rsidR="0056761C">
              <w:rPr>
                <w:rFonts w:cs="Helvetica"/>
                <w:color w:val="10131A"/>
              </w:rPr>
              <w:t>a cui</w:t>
            </w:r>
            <w:proofErr w:type="gramEnd"/>
            <w:r w:rsidR="0056761C">
              <w:rPr>
                <w:rFonts w:cs="Helvetica"/>
                <w:color w:val="10131A"/>
              </w:rPr>
              <w:t xml:space="preserve"> sempre più </w:t>
            </w:r>
            <w:r w:rsidRPr="0064150A">
              <w:rPr>
                <w:rFonts w:cs="Helvetica"/>
                <w:color w:val="10131A"/>
              </w:rPr>
              <w:t>spesso i musulmani venivano sottoposti nel mondo degli affari”</w:t>
            </w:r>
          </w:p>
        </w:tc>
        <w:tc>
          <w:tcPr>
            <w:tcW w:w="3260" w:type="dxa"/>
            <w:vMerge w:val="restart"/>
          </w:tcPr>
          <w:p w14:paraId="4A23B65A" w14:textId="7EE31FAB" w:rsidR="002302CF" w:rsidRPr="002302CF" w:rsidRDefault="00292B32" w:rsidP="00060CE1">
            <w:pPr>
              <w:jc w:val="both"/>
              <w:rPr>
                <w:lang w:val="en-US"/>
              </w:rPr>
            </w:pPr>
            <w:r>
              <w:rPr>
                <w:lang w:val="en-US"/>
              </w:rPr>
              <w:t>The intelligent reader should notice that while the original version uses the preposition “of”, the Italian version uses “a cui”, that is not the same thing, but once another, the two registers of the two languages are not the same.</w:t>
            </w:r>
            <w:r w:rsidR="008473BC">
              <w:rPr>
                <w:lang w:val="en-US"/>
              </w:rPr>
              <w:t xml:space="preserve"> It is interesting to notice also that in English “Muslims” is wrote with the uppercase let</w:t>
            </w:r>
            <w:r w:rsidR="001B2F90">
              <w:rPr>
                <w:lang w:val="en-US"/>
              </w:rPr>
              <w:t>ter while in Italian register “</w:t>
            </w:r>
            <w:proofErr w:type="spellStart"/>
            <w:r w:rsidR="001B2F90">
              <w:rPr>
                <w:lang w:val="en-US"/>
              </w:rPr>
              <w:t>musulmani</w:t>
            </w:r>
            <w:proofErr w:type="spellEnd"/>
            <w:r w:rsidR="001B2F90">
              <w:rPr>
                <w:lang w:val="en-US"/>
              </w:rPr>
              <w:t>” is spelled with the lowercase letter.</w:t>
            </w:r>
            <w:r w:rsidR="00412FC7">
              <w:rPr>
                <w:lang w:val="en-US"/>
              </w:rPr>
              <w:t xml:space="preserve"> This marks a difference of the Italian and American-English </w:t>
            </w:r>
            <w:proofErr w:type="gramStart"/>
            <w:r w:rsidR="00412FC7">
              <w:rPr>
                <w:lang w:val="en-US"/>
              </w:rPr>
              <w:t>culture, that</w:t>
            </w:r>
            <w:proofErr w:type="gramEnd"/>
            <w:r w:rsidR="00412FC7">
              <w:rPr>
                <w:lang w:val="en-US"/>
              </w:rPr>
              <w:t xml:space="preserve"> give</w:t>
            </w:r>
            <w:r w:rsidR="00E86539">
              <w:rPr>
                <w:lang w:val="en-US"/>
              </w:rPr>
              <w:t>s</w:t>
            </w:r>
            <w:r w:rsidR="00412FC7">
              <w:rPr>
                <w:lang w:val="en-US"/>
              </w:rPr>
              <w:t xml:space="preserve"> more importance to the provenience highlighting </w:t>
            </w:r>
            <w:r w:rsidR="00E86539">
              <w:rPr>
                <w:lang w:val="en-US"/>
              </w:rPr>
              <w:t>the word spelling with the uppercase letter the first letter.</w:t>
            </w:r>
            <w:r w:rsidR="006E2109">
              <w:rPr>
                <w:lang w:val="en-US"/>
              </w:rPr>
              <w:t xml:space="preserve"> It is important the provenience for the reason that America is a multicultural city where there are many cultures and differences.</w:t>
            </w:r>
            <w:bookmarkStart w:id="0" w:name="_GoBack"/>
            <w:bookmarkEnd w:id="0"/>
          </w:p>
        </w:tc>
      </w:tr>
      <w:tr w:rsidR="002302CF" w:rsidRPr="00A756CA" w14:paraId="318AE78A" w14:textId="77777777" w:rsidTr="002302CF">
        <w:trPr>
          <w:trHeight w:val="746"/>
        </w:trPr>
        <w:tc>
          <w:tcPr>
            <w:tcW w:w="6518" w:type="dxa"/>
            <w:gridSpan w:val="2"/>
          </w:tcPr>
          <w:p w14:paraId="3BC167B7" w14:textId="21BDB697" w:rsidR="002302CF" w:rsidRDefault="002302CF" w:rsidP="00A756CA">
            <w:pPr>
              <w:rPr>
                <w:lang w:val="en-US"/>
              </w:rPr>
            </w:pPr>
            <w:r w:rsidRPr="00A756CA">
              <w:rPr>
                <w:lang w:val="en-US"/>
              </w:rPr>
              <w:t xml:space="preserve">Reason </w:t>
            </w:r>
            <w:r>
              <w:rPr>
                <w:lang w:val="en-US"/>
              </w:rPr>
              <w:t xml:space="preserve">for choice: </w:t>
            </w:r>
            <w:proofErr w:type="gramStart"/>
            <w:r w:rsidRPr="00A756CA">
              <w:rPr>
                <w:lang w:val="en-US"/>
              </w:rPr>
              <w:t>The  quotation</w:t>
            </w:r>
            <w:proofErr w:type="gramEnd"/>
            <w:r w:rsidRPr="00A756CA">
              <w:rPr>
                <w:lang w:val="en-US"/>
              </w:rPr>
              <w:t xml:space="preserve"> provides </w:t>
            </w:r>
            <w:r w:rsidR="00EE6E51">
              <w:rPr>
                <w:lang w:val="en-US"/>
              </w:rPr>
              <w:t xml:space="preserve">a clear demonstration that New York (a multicultural city) had change after the attack; it became </w:t>
            </w:r>
            <w:r w:rsidR="00531F71">
              <w:rPr>
                <w:lang w:val="en-US"/>
              </w:rPr>
              <w:t>more aggressive and oppressive.</w:t>
            </w:r>
          </w:p>
          <w:p w14:paraId="05B4AF13" w14:textId="77777777" w:rsidR="002302CF" w:rsidRPr="00A756CA" w:rsidRDefault="002302CF" w:rsidP="002302CF">
            <w:pPr>
              <w:rPr>
                <w:lang w:val="en-US"/>
              </w:rPr>
            </w:pPr>
          </w:p>
        </w:tc>
        <w:tc>
          <w:tcPr>
            <w:tcW w:w="3260" w:type="dxa"/>
            <w:vMerge/>
          </w:tcPr>
          <w:p w14:paraId="7FAD2C56" w14:textId="77777777" w:rsidR="002302CF" w:rsidRPr="00A756CA" w:rsidRDefault="002302CF" w:rsidP="00060CE1">
            <w:pPr>
              <w:jc w:val="both"/>
              <w:rPr>
                <w:lang w:val="en-US"/>
              </w:rPr>
            </w:pPr>
          </w:p>
        </w:tc>
      </w:tr>
      <w:tr w:rsidR="002302CF" w:rsidRPr="00A756CA" w14:paraId="7B50CDF6" w14:textId="77777777" w:rsidTr="002302CF">
        <w:trPr>
          <w:trHeight w:val="1255"/>
        </w:trPr>
        <w:tc>
          <w:tcPr>
            <w:tcW w:w="6518" w:type="dxa"/>
            <w:gridSpan w:val="2"/>
          </w:tcPr>
          <w:p w14:paraId="38E15C32" w14:textId="20CAD99F" w:rsidR="002302CF" w:rsidRDefault="002302CF" w:rsidP="002302CF">
            <w:pPr>
              <w:rPr>
                <w:lang w:val="en-US"/>
              </w:rPr>
            </w:pPr>
            <w:r w:rsidRPr="002302CF">
              <w:rPr>
                <w:b/>
                <w:lang w:val="en-US"/>
              </w:rPr>
              <w:t>Analysis</w:t>
            </w:r>
            <w:r>
              <w:rPr>
                <w:lang w:val="en-US"/>
              </w:rPr>
              <w:t>:</w:t>
            </w:r>
            <w:r w:rsidR="00294114">
              <w:rPr>
                <w:lang w:val="en-US"/>
              </w:rPr>
              <w:t xml:space="preserve"> The quotations demonstrate clearly the discriminations that started to beg</w:t>
            </w:r>
            <w:r w:rsidR="00306273">
              <w:rPr>
                <w:lang w:val="en-US"/>
              </w:rPr>
              <w:t xml:space="preserve">inning after the attack. People’s </w:t>
            </w:r>
            <w:r w:rsidR="00294114">
              <w:rPr>
                <w:lang w:val="en-US"/>
              </w:rPr>
              <w:t>mentality changed.</w:t>
            </w:r>
          </w:p>
          <w:p w14:paraId="1902C4D3" w14:textId="52F60373" w:rsidR="002302CF" w:rsidRPr="00A756CA" w:rsidRDefault="002302CF" w:rsidP="002302CF">
            <w:pPr>
              <w:rPr>
                <w:lang w:val="en-US"/>
              </w:rPr>
            </w:pPr>
          </w:p>
        </w:tc>
        <w:tc>
          <w:tcPr>
            <w:tcW w:w="3260" w:type="dxa"/>
            <w:vMerge/>
          </w:tcPr>
          <w:p w14:paraId="1A459AD0" w14:textId="77777777" w:rsidR="002302CF" w:rsidRDefault="002302CF" w:rsidP="00060CE1">
            <w:pPr>
              <w:jc w:val="both"/>
              <w:rPr>
                <w:lang w:val="en-US"/>
              </w:rPr>
            </w:pPr>
          </w:p>
        </w:tc>
      </w:tr>
      <w:tr w:rsidR="002302CF" w:rsidRPr="00A756CA" w14:paraId="430FA342" w14:textId="77777777" w:rsidTr="008473BC">
        <w:trPr>
          <w:trHeight w:val="1255"/>
        </w:trPr>
        <w:tc>
          <w:tcPr>
            <w:tcW w:w="6518" w:type="dxa"/>
            <w:gridSpan w:val="2"/>
          </w:tcPr>
          <w:p w14:paraId="65FA639B" w14:textId="77777777" w:rsidR="002302CF" w:rsidRPr="002302CF" w:rsidRDefault="002302CF" w:rsidP="002302CF">
            <w:pPr>
              <w:rPr>
                <w:b/>
                <w:lang w:val="en-US"/>
              </w:rPr>
            </w:pPr>
            <w:r w:rsidRPr="002302CF">
              <w:rPr>
                <w:b/>
                <w:lang w:val="en-US"/>
              </w:rPr>
              <w:t>Possible conclusion:</w:t>
            </w:r>
          </w:p>
          <w:p w14:paraId="462DE9A0" w14:textId="41C4356F" w:rsidR="002302CF" w:rsidRDefault="00643CAB" w:rsidP="002302CF">
            <w:pPr>
              <w:rPr>
                <w:lang w:val="en-US"/>
              </w:rPr>
            </w:pPr>
            <w:r>
              <w:rPr>
                <w:lang w:val="en-US"/>
              </w:rPr>
              <w:t>By the two quotation</w:t>
            </w:r>
            <w:r w:rsidR="006E4866">
              <w:rPr>
                <w:lang w:val="en-US"/>
              </w:rPr>
              <w:t>s</w:t>
            </w:r>
            <w:r>
              <w:rPr>
                <w:lang w:val="en-US"/>
              </w:rPr>
              <w:t xml:space="preserve"> it is possible to notice </w:t>
            </w:r>
            <w:r w:rsidR="0096186C">
              <w:rPr>
                <w:lang w:val="en-US"/>
              </w:rPr>
              <w:t>that the two languages present</w:t>
            </w:r>
            <w:r>
              <w:rPr>
                <w:lang w:val="en-US"/>
              </w:rPr>
              <w:t xml:space="preserve"> some differences that enclose in a way or another the different points of view</w:t>
            </w:r>
            <w:r w:rsidR="0096186C">
              <w:rPr>
                <w:lang w:val="en-US"/>
              </w:rPr>
              <w:t>.</w:t>
            </w:r>
          </w:p>
        </w:tc>
        <w:tc>
          <w:tcPr>
            <w:tcW w:w="3260" w:type="dxa"/>
            <w:vMerge/>
          </w:tcPr>
          <w:p w14:paraId="6A686C4D" w14:textId="77777777" w:rsidR="002302CF" w:rsidRDefault="002302CF" w:rsidP="00060CE1">
            <w:pPr>
              <w:jc w:val="both"/>
              <w:rPr>
                <w:lang w:val="en-US"/>
              </w:rPr>
            </w:pPr>
          </w:p>
        </w:tc>
      </w:tr>
    </w:tbl>
    <w:p w14:paraId="49F6FA49" w14:textId="77777777" w:rsidR="00A756CA" w:rsidRPr="00A756CA" w:rsidRDefault="00A756CA" w:rsidP="00A756CA">
      <w:pPr>
        <w:spacing w:after="0"/>
        <w:rPr>
          <w:lang w:val="en-US"/>
        </w:rPr>
      </w:pPr>
    </w:p>
    <w:p w14:paraId="22EC9E29" w14:textId="77777777" w:rsidR="00E927C5" w:rsidRPr="00A756CA" w:rsidRDefault="00E927C5" w:rsidP="00FE09C0">
      <w:pPr>
        <w:spacing w:after="0"/>
        <w:rPr>
          <w:lang w:val="en-US"/>
        </w:rPr>
      </w:pPr>
    </w:p>
    <w:p w14:paraId="6A7C43FD" w14:textId="77777777" w:rsidR="00E927C5" w:rsidRPr="00A756CA" w:rsidRDefault="00E927C5">
      <w:pPr>
        <w:rPr>
          <w:lang w:val="en-US"/>
        </w:rPr>
      </w:pPr>
      <w:r w:rsidRPr="00A756CA">
        <w:rPr>
          <w:lang w:val="en-US"/>
        </w:rPr>
        <w:br w:type="page"/>
      </w:r>
    </w:p>
    <w:sectPr w:rsidR="00E927C5" w:rsidRPr="00A756CA" w:rsidSect="00FB1B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D9B"/>
    <w:multiLevelType w:val="hybridMultilevel"/>
    <w:tmpl w:val="9AAAF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04121"/>
    <w:multiLevelType w:val="hybridMultilevel"/>
    <w:tmpl w:val="7BC6E132"/>
    <w:lvl w:ilvl="0" w:tplc="D52C90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6F2EF8"/>
    <w:multiLevelType w:val="hybridMultilevel"/>
    <w:tmpl w:val="3E30407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360F2EC8"/>
    <w:multiLevelType w:val="hybridMultilevel"/>
    <w:tmpl w:val="B044C2CE"/>
    <w:lvl w:ilvl="0" w:tplc="D52C908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8A0274"/>
    <w:multiLevelType w:val="hybridMultilevel"/>
    <w:tmpl w:val="7F0A32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706C5E"/>
    <w:multiLevelType w:val="hybridMultilevel"/>
    <w:tmpl w:val="35BA70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2"/>
  </w:compat>
  <w:rsids>
    <w:rsidRoot w:val="00E927C5"/>
    <w:rsid w:val="00033BC0"/>
    <w:rsid w:val="00060CE1"/>
    <w:rsid w:val="001B2F90"/>
    <w:rsid w:val="002302CF"/>
    <w:rsid w:val="00292B32"/>
    <w:rsid w:val="00294114"/>
    <w:rsid w:val="00306273"/>
    <w:rsid w:val="00412FC7"/>
    <w:rsid w:val="004804AF"/>
    <w:rsid w:val="00531F71"/>
    <w:rsid w:val="0056761C"/>
    <w:rsid w:val="0064150A"/>
    <w:rsid w:val="00643CAB"/>
    <w:rsid w:val="006E2109"/>
    <w:rsid w:val="006E4866"/>
    <w:rsid w:val="008473BC"/>
    <w:rsid w:val="0096186C"/>
    <w:rsid w:val="009663A5"/>
    <w:rsid w:val="009A0ABB"/>
    <w:rsid w:val="00A756CA"/>
    <w:rsid w:val="00B62F11"/>
    <w:rsid w:val="00C21E3B"/>
    <w:rsid w:val="00E86539"/>
    <w:rsid w:val="00E927C5"/>
    <w:rsid w:val="00EE6E51"/>
    <w:rsid w:val="00FB1BF4"/>
    <w:rsid w:val="00FE09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BF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7C5"/>
    <w:pPr>
      <w:ind w:left="720"/>
      <w:contextualSpacing/>
    </w:pPr>
  </w:style>
  <w:style w:type="table" w:styleId="Grigliatabella">
    <w:name w:val="Table Grid"/>
    <w:basedOn w:val="Tabellanormale"/>
    <w:uiPriority w:val="59"/>
    <w:rsid w:val="00A756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230</Words>
  <Characters>1314</Characters>
  <Application>Microsoft Macintosh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Margherita Granziera</cp:lastModifiedBy>
  <cp:revision>19</cp:revision>
  <dcterms:created xsi:type="dcterms:W3CDTF">2014-10-23T11:21:00Z</dcterms:created>
  <dcterms:modified xsi:type="dcterms:W3CDTF">2014-11-02T19:28:00Z</dcterms:modified>
</cp:coreProperties>
</file>